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2F4BDF3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26155" cy="885825"/>
            <wp:effectExtent l="0" t="0" r="0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92" cy="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2F2316A" w14:textId="77777777" w:rsidR="00A209C9" w:rsidRDefault="00A209C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09874D85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382171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7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77631F5B" w:rsidR="00636289" w:rsidRPr="00382171" w:rsidRDefault="00382171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382171">
              <w:rPr>
                <w:rFonts w:ascii="Tahoma" w:hAnsi="Tahoma" w:cs="Tahoma"/>
                <w:b/>
              </w:rPr>
              <w:t xml:space="preserve">PROCEDURA APERTA PER L’AFFIDAMENTO DEI LAVORI DI CUI AL PROGETTO “REALIZZAZIONE NUOVA MENSA SCUOLA SECONDARIA ALSENO, FINANZIATO IN PARTE DALLUNIONE EUROPEA NEXT GENERATION EU M4C1 – INTERVENTO 1.2. </w:t>
            </w:r>
            <w:r w:rsidRPr="00382171">
              <w:rPr>
                <w:rFonts w:ascii="Tahoma" w:hAnsi="Tahoma" w:cs="Tahoma"/>
                <w:b/>
                <w:caps/>
                <w:kern w:val="2"/>
              </w:rPr>
              <w:t>“PIANO DI ESTENSIONE DEL TEMPO PIENO E MENSE -</w:t>
            </w:r>
            <w:r w:rsidRPr="00382171">
              <w:rPr>
                <w:rFonts w:ascii="Tahoma" w:hAnsi="Tahoma" w:cs="Tahoma"/>
                <w:b/>
              </w:rPr>
              <w:t xml:space="preserve"> CUP E95E22000450001, CIG </w:t>
            </w:r>
            <w:r w:rsidR="00FF3EC3" w:rsidRPr="00FF3EC3">
              <w:rPr>
                <w:rFonts w:ascii="Tahoma" w:hAnsi="Tahoma" w:cs="Tahoma"/>
                <w:b/>
              </w:rPr>
              <w:t>991817401C</w:t>
            </w:r>
            <w:r w:rsidRPr="00382171">
              <w:rPr>
                <w:rFonts w:ascii="Tahoma" w:hAnsi="Tahoma" w:cs="Tahoma"/>
                <w:b/>
              </w:rPr>
              <w:t>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152">
    <w:abstractNumId w:val="1"/>
  </w:num>
  <w:num w:numId="2" w16cid:durableId="125703061">
    <w:abstractNumId w:val="7"/>
  </w:num>
  <w:num w:numId="3" w16cid:durableId="965083436">
    <w:abstractNumId w:val="8"/>
  </w:num>
  <w:num w:numId="4" w16cid:durableId="94905638">
    <w:abstractNumId w:val="6"/>
  </w:num>
  <w:num w:numId="5" w16cid:durableId="2013486531">
    <w:abstractNumId w:val="4"/>
  </w:num>
  <w:num w:numId="6" w16cid:durableId="2038652820">
    <w:abstractNumId w:val="0"/>
  </w:num>
  <w:num w:numId="7" w16cid:durableId="915211713">
    <w:abstractNumId w:val="2"/>
  </w:num>
  <w:num w:numId="8" w16cid:durableId="741684439">
    <w:abstractNumId w:val="5"/>
  </w:num>
  <w:num w:numId="9" w16cid:durableId="36498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12F0B"/>
    <w:rsid w:val="000B0C0A"/>
    <w:rsid w:val="000F5CA5"/>
    <w:rsid w:val="00113D43"/>
    <w:rsid w:val="00132F8A"/>
    <w:rsid w:val="001942B4"/>
    <w:rsid w:val="00197F90"/>
    <w:rsid w:val="001A055B"/>
    <w:rsid w:val="001A5EBD"/>
    <w:rsid w:val="001F5FC4"/>
    <w:rsid w:val="00201D14"/>
    <w:rsid w:val="00221679"/>
    <w:rsid w:val="002E173E"/>
    <w:rsid w:val="002E3228"/>
    <w:rsid w:val="002E44DC"/>
    <w:rsid w:val="003224C8"/>
    <w:rsid w:val="003370F5"/>
    <w:rsid w:val="003733AB"/>
    <w:rsid w:val="003776A6"/>
    <w:rsid w:val="00382171"/>
    <w:rsid w:val="003F64A5"/>
    <w:rsid w:val="00412E35"/>
    <w:rsid w:val="004216F8"/>
    <w:rsid w:val="00432B3B"/>
    <w:rsid w:val="00495834"/>
    <w:rsid w:val="004C7081"/>
    <w:rsid w:val="004D5443"/>
    <w:rsid w:val="005D0F0B"/>
    <w:rsid w:val="005D2B87"/>
    <w:rsid w:val="00636289"/>
    <w:rsid w:val="00660E24"/>
    <w:rsid w:val="006B4813"/>
    <w:rsid w:val="00700FA3"/>
    <w:rsid w:val="007851F8"/>
    <w:rsid w:val="007861BF"/>
    <w:rsid w:val="00821719"/>
    <w:rsid w:val="008D6BD9"/>
    <w:rsid w:val="008E0378"/>
    <w:rsid w:val="00977B44"/>
    <w:rsid w:val="009E0042"/>
    <w:rsid w:val="009E2D74"/>
    <w:rsid w:val="00A209C9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01E8E"/>
    <w:rsid w:val="00E939DC"/>
    <w:rsid w:val="00EA190F"/>
    <w:rsid w:val="00EA4326"/>
    <w:rsid w:val="00ED4D18"/>
    <w:rsid w:val="00F75A51"/>
    <w:rsid w:val="00FE39EE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8911</TotalTime>
  <Pages>6</Pages>
  <Words>1181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44</cp:revision>
  <dcterms:created xsi:type="dcterms:W3CDTF">2022-09-01T09:13:00Z</dcterms:created>
  <dcterms:modified xsi:type="dcterms:W3CDTF">2023-06-23T11:07:00Z</dcterms:modified>
</cp:coreProperties>
</file>